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E" w:rsidRPr="006E6C0E" w:rsidRDefault="001B2C5E" w:rsidP="001B2C5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57525" cy="1971675"/>
            <wp:effectExtent l="19050" t="0" r="9525" b="0"/>
            <wp:wrapSquare wrapText="bothSides"/>
            <wp:docPr id="3" name="Image 1" descr="carte de vi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e vi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C5E" w:rsidRDefault="001B2C5E" w:rsidP="001B2C5E">
      <w:pPr>
        <w:ind w:left="708"/>
        <w:rPr>
          <w:b/>
          <w:bCs/>
          <w:color w:val="000000"/>
          <w:sz w:val="20"/>
          <w:szCs w:val="20"/>
          <w:shd w:val="clear" w:color="auto" w:fill="F3F3F3"/>
        </w:rPr>
      </w:pPr>
    </w:p>
    <w:p w:rsidR="001B2C5E" w:rsidRDefault="001B2C5E" w:rsidP="001B2C5E">
      <w:pPr>
        <w:ind w:left="1416" w:firstLine="708"/>
        <w:rPr>
          <w:b/>
          <w:bCs/>
          <w:color w:val="000000"/>
          <w:sz w:val="20"/>
          <w:szCs w:val="20"/>
          <w:shd w:val="clear" w:color="auto" w:fill="F3F3F3"/>
        </w:rPr>
      </w:pPr>
      <w:r>
        <w:rPr>
          <w:b/>
          <w:bCs/>
          <w:color w:val="000000"/>
          <w:sz w:val="20"/>
          <w:szCs w:val="20"/>
          <w:shd w:val="clear" w:color="auto" w:fill="F3F3F3"/>
        </w:rPr>
        <w:t>CIF  (Conseiller en Investissements  Financiers)</w:t>
      </w:r>
    </w:p>
    <w:p w:rsidR="001B2C5E" w:rsidRDefault="001B2C5E" w:rsidP="001B2C5E">
      <w:pPr>
        <w:ind w:left="1416" w:firstLine="708"/>
        <w:rPr>
          <w:color w:val="000000"/>
          <w:sz w:val="20"/>
          <w:szCs w:val="20"/>
          <w:shd w:val="clear" w:color="auto" w:fill="F3F3F3"/>
        </w:rPr>
      </w:pPr>
      <w:proofErr w:type="gramStart"/>
      <w:r>
        <w:rPr>
          <w:color w:val="000000"/>
          <w:sz w:val="20"/>
          <w:szCs w:val="20"/>
          <w:shd w:val="clear" w:color="auto" w:fill="F3F3F3"/>
        </w:rPr>
        <w:t>immatriculé</w:t>
      </w:r>
      <w:proofErr w:type="gramEnd"/>
      <w:r>
        <w:rPr>
          <w:color w:val="000000"/>
          <w:sz w:val="20"/>
          <w:szCs w:val="20"/>
          <w:shd w:val="clear" w:color="auto" w:fill="F3F3F3"/>
        </w:rPr>
        <w:t xml:space="preserve"> à l'ORIAS  </w:t>
      </w:r>
      <w:r>
        <w:rPr>
          <w:b/>
          <w:bCs/>
          <w:color w:val="000000"/>
          <w:sz w:val="20"/>
          <w:szCs w:val="20"/>
          <w:shd w:val="clear" w:color="auto" w:fill="F3F3F3"/>
        </w:rPr>
        <w:t>sous le numéro 16003317</w:t>
      </w:r>
      <w:r>
        <w:rPr>
          <w:color w:val="000000"/>
          <w:sz w:val="20"/>
          <w:szCs w:val="20"/>
          <w:shd w:val="clear" w:color="auto" w:fill="F3F3F3"/>
        </w:rPr>
        <w:t xml:space="preserve">  </w:t>
      </w:r>
    </w:p>
    <w:p w:rsidR="001B2C5E" w:rsidRDefault="00C1174B" w:rsidP="001B2C5E">
      <w:pPr>
        <w:ind w:firstLine="708"/>
        <w:rPr>
          <w:color w:val="000000"/>
          <w:sz w:val="20"/>
          <w:szCs w:val="20"/>
          <w:shd w:val="clear" w:color="auto" w:fill="F3F3F3"/>
        </w:rPr>
      </w:pPr>
      <w:hyperlink r:id="rId6" w:history="1">
        <w:r w:rsidR="001B2C5E">
          <w:rPr>
            <w:rStyle w:val="Lienhypertexte"/>
            <w:sz w:val="20"/>
            <w:szCs w:val="20"/>
          </w:rPr>
          <w:t>https://www.orias.fr/espace-consommateur</w:t>
        </w:r>
      </w:hyperlink>
    </w:p>
    <w:p w:rsidR="001B2C5E" w:rsidRDefault="001B2C5E" w:rsidP="001B2C5E">
      <w:pPr>
        <w:ind w:firstLine="708"/>
        <w:rPr>
          <w:color w:val="000000"/>
          <w:sz w:val="20"/>
          <w:szCs w:val="20"/>
          <w:shd w:val="clear" w:color="auto" w:fill="F3F3F3"/>
        </w:rPr>
      </w:pPr>
      <w:proofErr w:type="gramStart"/>
      <w:r>
        <w:rPr>
          <w:color w:val="000000"/>
          <w:sz w:val="20"/>
          <w:szCs w:val="20"/>
          <w:shd w:val="clear" w:color="auto" w:fill="F3F3F3"/>
        </w:rPr>
        <w:t>membre</w:t>
      </w:r>
      <w:proofErr w:type="gramEnd"/>
      <w:r>
        <w:rPr>
          <w:color w:val="000000"/>
          <w:sz w:val="20"/>
          <w:szCs w:val="20"/>
          <w:shd w:val="clear" w:color="auto" w:fill="F3F3F3"/>
        </w:rPr>
        <w:t xml:space="preserve"> de la CNCEF chambre agréée  par l'AMF</w:t>
      </w:r>
    </w:p>
    <w:p w:rsidR="00A85829" w:rsidRPr="00AC0BB6" w:rsidRDefault="001B2C5E" w:rsidP="00AC0BB6">
      <w:pPr>
        <w:pStyle w:val="En-tte"/>
        <w:ind w:hanging="709"/>
        <w:jc w:val="both"/>
        <w:rPr>
          <w:color w:val="000000"/>
          <w:sz w:val="20"/>
          <w:szCs w:val="20"/>
          <w:shd w:val="clear" w:color="auto" w:fill="F3F3F3"/>
          <w:lang w:eastAsia="fr-FR"/>
        </w:rPr>
      </w:pPr>
      <w:r>
        <w:rPr>
          <w:color w:val="000000"/>
          <w:sz w:val="20"/>
          <w:szCs w:val="20"/>
          <w:shd w:val="clear" w:color="auto" w:fill="F3F3F3"/>
          <w:lang w:eastAsia="fr-FR"/>
        </w:rPr>
        <w:tab/>
        <w:t xml:space="preserve">              S</w:t>
      </w:r>
      <w:r w:rsidRPr="00645EDF">
        <w:rPr>
          <w:color w:val="000000"/>
          <w:sz w:val="20"/>
          <w:szCs w:val="20"/>
          <w:shd w:val="clear" w:color="auto" w:fill="F3F3F3"/>
          <w:lang w:eastAsia="fr-FR"/>
        </w:rPr>
        <w:t>IRET  528 188 378 00038</w:t>
      </w:r>
    </w:p>
    <w:p w:rsidR="00E81020" w:rsidRDefault="0045364B" w:rsidP="00AC0BB6">
      <w:pPr>
        <w:pStyle w:val="Titre1"/>
      </w:pPr>
      <w:r>
        <w:rPr>
          <w:highlight w:val="yellow"/>
        </w:rPr>
        <w:t>201903</w:t>
      </w:r>
      <w:r w:rsidR="00F062AF" w:rsidRPr="00F062AF">
        <w:rPr>
          <w:highlight w:val="yellow"/>
        </w:rPr>
        <w:t xml:space="preserve">  </w:t>
      </w:r>
      <w:proofErr w:type="spellStart"/>
      <w:r w:rsidR="004374FE" w:rsidRPr="00F062AF">
        <w:rPr>
          <w:highlight w:val="yellow"/>
        </w:rPr>
        <w:t>pascaltrichettrading</w:t>
      </w:r>
      <w:proofErr w:type="spellEnd"/>
      <w:r w:rsidR="00BC2079" w:rsidRPr="00F062AF">
        <w:rPr>
          <w:highlight w:val="yellow"/>
        </w:rPr>
        <w:t xml:space="preserve">    </w:t>
      </w:r>
      <w:r w:rsidR="00F062AF" w:rsidRPr="00F062AF">
        <w:rPr>
          <w:highlight w:val="yellow"/>
        </w:rPr>
        <w:t>valeurs en situation de retournement</w:t>
      </w:r>
    </w:p>
    <w:p w:rsidR="00115B68" w:rsidRDefault="00115B68" w:rsidP="00AC0BB6">
      <w:pPr>
        <w:pStyle w:val="Titre1"/>
      </w:pPr>
    </w:p>
    <w:p w:rsidR="00AC0BB6" w:rsidRDefault="00E81020" w:rsidP="00AC0BB6">
      <w:pPr>
        <w:pStyle w:val="Titre1"/>
      </w:pPr>
      <w:r>
        <w:t>Préambule</w:t>
      </w:r>
    </w:p>
    <w:p w:rsidR="00AC0BB6" w:rsidRPr="00AC0BB6" w:rsidRDefault="00AC0BB6" w:rsidP="00AC0BB6"/>
    <w:p w:rsidR="00E81020" w:rsidRDefault="00E81020" w:rsidP="00E81020">
      <w:r>
        <w:t xml:space="preserve">Ces analyses </w:t>
      </w:r>
      <w:r w:rsidRPr="00AC0BB6">
        <w:rPr>
          <w:b/>
        </w:rPr>
        <w:t>à fréquence mensuelle</w:t>
      </w:r>
      <w:r>
        <w:t xml:space="preserve"> se </w:t>
      </w:r>
      <w:proofErr w:type="gramStart"/>
      <w:r>
        <w:t>base</w:t>
      </w:r>
      <w:proofErr w:type="gramEnd"/>
      <w:r>
        <w:t xml:space="preserve"> sur la méthode des divergences</w:t>
      </w:r>
    </w:p>
    <w:p w:rsidR="00E81020" w:rsidRDefault="00E81020" w:rsidP="00E81020">
      <w:r>
        <w:t xml:space="preserve"> </w:t>
      </w:r>
      <w:proofErr w:type="gramStart"/>
      <w:r>
        <w:t>et</w:t>
      </w:r>
      <w:proofErr w:type="gramEnd"/>
      <w:r>
        <w:t xml:space="preserve"> sont automatisées avec le logiciel © </w:t>
      </w:r>
      <w:proofErr w:type="spellStart"/>
      <w:r>
        <w:t>Walmaster</w:t>
      </w:r>
      <w:proofErr w:type="spellEnd"/>
      <w:r>
        <w:t xml:space="preserve"> XE de © </w:t>
      </w:r>
      <w:proofErr w:type="spellStart"/>
      <w:r>
        <w:t>Waldata</w:t>
      </w:r>
      <w:proofErr w:type="spellEnd"/>
      <w:r>
        <w:t>.</w:t>
      </w:r>
    </w:p>
    <w:p w:rsidR="00AC0BB6" w:rsidRDefault="00AC0BB6" w:rsidP="00E81020">
      <w:r>
        <w:t>Ma longue expérience des divergences me fait sélectionner ce</w:t>
      </w:r>
      <w:r w:rsidR="00E73BA5">
        <w:t>lles</w:t>
      </w:r>
      <w:r>
        <w:t xml:space="preserve"> qui </w:t>
      </w:r>
      <w:proofErr w:type="spellStart"/>
      <w:r>
        <w:t>peu</w:t>
      </w:r>
      <w:r w:rsidR="00E73BA5">
        <w:t>vent</w:t>
      </w:r>
      <w:r>
        <w:t>t</w:t>
      </w:r>
      <w:proofErr w:type="spellEnd"/>
      <w:r>
        <w:t xml:space="preserve"> être le plus intéressant.</w:t>
      </w:r>
    </w:p>
    <w:p w:rsidR="00C021B1" w:rsidRDefault="00C021B1" w:rsidP="00E81020"/>
    <w:p w:rsidR="00115B68" w:rsidRDefault="00115B68" w:rsidP="00C021B1">
      <w:pPr>
        <w:pStyle w:val="Titre1"/>
      </w:pPr>
    </w:p>
    <w:p w:rsidR="00C021B1" w:rsidRDefault="00C021B1" w:rsidP="00C021B1">
      <w:pPr>
        <w:pStyle w:val="Titre1"/>
      </w:pPr>
      <w:r>
        <w:t>S</w:t>
      </w:r>
      <w:r w:rsidR="001F6189">
        <w:t xml:space="preserve">uivi valeurs détectées début </w:t>
      </w:r>
      <w:r>
        <w:t xml:space="preserve"> février</w:t>
      </w:r>
    </w:p>
    <w:p w:rsidR="00C021B1" w:rsidRDefault="00C021B1" w:rsidP="00C021B1"/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E73BA5" w:rsidTr="00E73BA5">
        <w:tc>
          <w:tcPr>
            <w:tcW w:w="2651" w:type="dxa"/>
          </w:tcPr>
          <w:p w:rsidR="00E73BA5" w:rsidRDefault="00E73BA5" w:rsidP="00C021B1">
            <w:r>
              <w:t>VALEUR DETECTEE</w:t>
            </w:r>
          </w:p>
        </w:tc>
        <w:tc>
          <w:tcPr>
            <w:tcW w:w="2651" w:type="dxa"/>
          </w:tcPr>
          <w:p w:rsidR="00E73BA5" w:rsidRDefault="00E73BA5" w:rsidP="00C021B1">
            <w:r>
              <w:t>Cours détecté</w:t>
            </w:r>
          </w:p>
        </w:tc>
        <w:tc>
          <w:tcPr>
            <w:tcW w:w="2652" w:type="dxa"/>
          </w:tcPr>
          <w:p w:rsidR="00E73BA5" w:rsidRDefault="00E73BA5" w:rsidP="00C021B1">
            <w:r>
              <w:t>Cours au 4/3/19</w:t>
            </w:r>
          </w:p>
        </w:tc>
        <w:tc>
          <w:tcPr>
            <w:tcW w:w="2652" w:type="dxa"/>
          </w:tcPr>
          <w:p w:rsidR="00E73BA5" w:rsidRDefault="00E73BA5" w:rsidP="00C021B1">
            <w:r>
              <w:t>Variation</w:t>
            </w:r>
          </w:p>
        </w:tc>
      </w:tr>
      <w:tr w:rsidR="00E73BA5" w:rsidTr="00E73BA5">
        <w:tc>
          <w:tcPr>
            <w:tcW w:w="2651" w:type="dxa"/>
          </w:tcPr>
          <w:p w:rsidR="00E73BA5" w:rsidRDefault="00E73BA5" w:rsidP="00C021B1">
            <w:r>
              <w:t>CARREFOUR</w:t>
            </w:r>
          </w:p>
        </w:tc>
        <w:tc>
          <w:tcPr>
            <w:tcW w:w="2651" w:type="dxa"/>
          </w:tcPr>
          <w:p w:rsidR="00E73BA5" w:rsidRDefault="00E73BA5" w:rsidP="00C021B1">
            <w:r>
              <w:t>17.375</w:t>
            </w:r>
          </w:p>
        </w:tc>
        <w:tc>
          <w:tcPr>
            <w:tcW w:w="2652" w:type="dxa"/>
          </w:tcPr>
          <w:p w:rsidR="00E73BA5" w:rsidRDefault="00E73BA5" w:rsidP="00C021B1">
            <w:r>
              <w:t>17.37</w:t>
            </w:r>
          </w:p>
        </w:tc>
        <w:tc>
          <w:tcPr>
            <w:tcW w:w="2652" w:type="dxa"/>
          </w:tcPr>
          <w:p w:rsidR="00E73BA5" w:rsidRDefault="00E73BA5" w:rsidP="00C021B1">
            <w:r>
              <w:t>0%</w:t>
            </w:r>
          </w:p>
        </w:tc>
      </w:tr>
      <w:tr w:rsidR="00E73BA5" w:rsidTr="00E73BA5">
        <w:tc>
          <w:tcPr>
            <w:tcW w:w="2651" w:type="dxa"/>
          </w:tcPr>
          <w:p w:rsidR="00E73BA5" w:rsidRDefault="00E73BA5" w:rsidP="00C021B1">
            <w:r>
              <w:t>TF1</w:t>
            </w:r>
          </w:p>
        </w:tc>
        <w:tc>
          <w:tcPr>
            <w:tcW w:w="2651" w:type="dxa"/>
          </w:tcPr>
          <w:p w:rsidR="00E73BA5" w:rsidRDefault="00E73BA5" w:rsidP="00C021B1">
            <w:r>
              <w:t>7.17</w:t>
            </w:r>
          </w:p>
        </w:tc>
        <w:tc>
          <w:tcPr>
            <w:tcW w:w="2652" w:type="dxa"/>
          </w:tcPr>
          <w:p w:rsidR="00E73BA5" w:rsidRDefault="00E73BA5" w:rsidP="00C021B1">
            <w:r>
              <w:t>8.16</w:t>
            </w:r>
          </w:p>
        </w:tc>
        <w:tc>
          <w:tcPr>
            <w:tcW w:w="2652" w:type="dxa"/>
          </w:tcPr>
          <w:p w:rsidR="00E73BA5" w:rsidRDefault="00E73BA5" w:rsidP="00C021B1">
            <w:r>
              <w:t>+13.8%</w:t>
            </w:r>
          </w:p>
        </w:tc>
      </w:tr>
      <w:tr w:rsidR="00E73BA5" w:rsidTr="00E73BA5">
        <w:tc>
          <w:tcPr>
            <w:tcW w:w="2651" w:type="dxa"/>
          </w:tcPr>
          <w:p w:rsidR="00E73BA5" w:rsidRDefault="00E73BA5" w:rsidP="00C021B1">
            <w:r>
              <w:t>ANAVEX</w:t>
            </w:r>
          </w:p>
        </w:tc>
        <w:tc>
          <w:tcPr>
            <w:tcW w:w="2651" w:type="dxa"/>
          </w:tcPr>
          <w:p w:rsidR="00E73BA5" w:rsidRDefault="00E73BA5" w:rsidP="00C021B1">
            <w:r>
              <w:t>2.02</w:t>
            </w:r>
          </w:p>
        </w:tc>
        <w:tc>
          <w:tcPr>
            <w:tcW w:w="2652" w:type="dxa"/>
          </w:tcPr>
          <w:p w:rsidR="00E73BA5" w:rsidRDefault="00E73BA5" w:rsidP="00C021B1">
            <w:r>
              <w:t>2.59</w:t>
            </w:r>
          </w:p>
        </w:tc>
        <w:tc>
          <w:tcPr>
            <w:tcW w:w="2652" w:type="dxa"/>
          </w:tcPr>
          <w:p w:rsidR="00E73BA5" w:rsidRDefault="00E73BA5" w:rsidP="00C021B1">
            <w:r>
              <w:t>+28</w:t>
            </w:r>
            <w:r w:rsidR="00115B68">
              <w:t>.2</w:t>
            </w:r>
            <w:r>
              <w:t>%</w:t>
            </w:r>
          </w:p>
        </w:tc>
      </w:tr>
    </w:tbl>
    <w:p w:rsidR="00C021B1" w:rsidRDefault="00C021B1" w:rsidP="00C021B1"/>
    <w:p w:rsidR="00115B68" w:rsidRDefault="00115B6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73BA5" w:rsidRDefault="00E73BA5" w:rsidP="00E73BA5">
      <w:pPr>
        <w:pStyle w:val="Titre1"/>
      </w:pPr>
      <w:r>
        <w:lastRenderedPageBreak/>
        <w:t>Valeurs détectées en ce début mars</w:t>
      </w:r>
    </w:p>
    <w:p w:rsidR="00E73BA5" w:rsidRDefault="00115B68" w:rsidP="00115B68">
      <w:pPr>
        <w:pStyle w:val="Titre3"/>
      </w:pPr>
      <w:r>
        <w:t>ILIAD</w:t>
      </w:r>
    </w:p>
    <w:p w:rsidR="00115B68" w:rsidRDefault="00115B68" w:rsidP="00E73BA5">
      <w:r>
        <w:rPr>
          <w:noProof/>
          <w:lang w:eastAsia="fr-FR"/>
        </w:rPr>
        <w:drawing>
          <wp:inline distT="0" distB="0" distL="0" distR="0">
            <wp:extent cx="4676775" cy="3707548"/>
            <wp:effectExtent l="19050" t="0" r="9525" b="0"/>
            <wp:docPr id="4" name="Image 3" descr="201903 Ili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 Ilia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903" cy="37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68" w:rsidRDefault="00115B68" w:rsidP="00E73BA5">
      <w:r>
        <w:t>La divergence n’est pas complètement formée mais l’idée est bien là.</w:t>
      </w:r>
    </w:p>
    <w:p w:rsidR="00BF7BBD" w:rsidRDefault="00BF7BBD" w:rsidP="00E73BA5">
      <w:r>
        <w:t>Divergence invalidée le 8/3 sur un plus bas des prix</w:t>
      </w:r>
    </w:p>
    <w:p w:rsidR="00115B68" w:rsidRDefault="00115B68" w:rsidP="00115B68">
      <w:pPr>
        <w:pStyle w:val="Titre3"/>
      </w:pPr>
      <w:r>
        <w:t>MBWS</w:t>
      </w:r>
    </w:p>
    <w:p w:rsidR="00115B68" w:rsidRPr="00115B68" w:rsidRDefault="00115B68" w:rsidP="00115B68">
      <w:r>
        <w:rPr>
          <w:noProof/>
          <w:lang w:eastAsia="fr-FR"/>
        </w:rPr>
        <w:drawing>
          <wp:inline distT="0" distB="0" distL="0" distR="0">
            <wp:extent cx="4914900" cy="3896324"/>
            <wp:effectExtent l="19050" t="0" r="0" b="0"/>
            <wp:docPr id="5" name="Image 4" descr="201903 MB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 MBW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085" cy="389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68" w:rsidRDefault="00115B68" w:rsidP="00E73BA5">
      <w:r>
        <w:t xml:space="preserve">Le </w:t>
      </w:r>
      <w:proofErr w:type="spellStart"/>
      <w:r>
        <w:t>momentum</w:t>
      </w:r>
      <w:proofErr w:type="spellEnd"/>
      <w:r>
        <w:t xml:space="preserve"> est bien parti pour passer au dessus de la ligne neutre.</w:t>
      </w:r>
    </w:p>
    <w:p w:rsidR="00115B68" w:rsidRDefault="00115B68" w:rsidP="00E73BA5"/>
    <w:p w:rsidR="00115B68" w:rsidRDefault="00115B68" w:rsidP="00115B68">
      <w:pPr>
        <w:pStyle w:val="Titre3"/>
      </w:pPr>
      <w:r>
        <w:t>NRJ GROUP</w:t>
      </w:r>
    </w:p>
    <w:p w:rsidR="00115B68" w:rsidRDefault="00115B68" w:rsidP="00E73BA5">
      <w:r>
        <w:rPr>
          <w:noProof/>
          <w:lang w:eastAsia="fr-FR"/>
        </w:rPr>
        <w:drawing>
          <wp:inline distT="0" distB="0" distL="0" distR="0">
            <wp:extent cx="5286610" cy="4191000"/>
            <wp:effectExtent l="19050" t="0" r="9290" b="0"/>
            <wp:docPr id="7" name="Image 6" descr="201903 NRJ 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 NRJ Grou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917" cy="419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89" w:rsidRDefault="001F6189" w:rsidP="00E73BA5">
      <w:r>
        <w:t>Même remarque que pour MBWS</w:t>
      </w:r>
    </w:p>
    <w:p w:rsidR="001F6189" w:rsidRDefault="001F6189" w:rsidP="001F6189">
      <w:pPr>
        <w:pStyle w:val="Titre3"/>
      </w:pPr>
      <w:r>
        <w:t>TECHNICOLOR</w:t>
      </w:r>
    </w:p>
    <w:p w:rsidR="001F6189" w:rsidRDefault="001F6189" w:rsidP="00E73BA5">
      <w:r>
        <w:rPr>
          <w:noProof/>
          <w:lang w:eastAsia="fr-FR"/>
        </w:rPr>
        <w:drawing>
          <wp:inline distT="0" distB="0" distL="0" distR="0">
            <wp:extent cx="5334672" cy="4229100"/>
            <wp:effectExtent l="19050" t="0" r="0" b="0"/>
            <wp:docPr id="8" name="Image 7" descr="201903 Techni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 Technicolo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38" cy="423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89" w:rsidRDefault="001F6189" w:rsidP="00E73BA5">
      <w:r>
        <w:lastRenderedPageBreak/>
        <w:t>Divergence validée en toute théorie</w:t>
      </w:r>
    </w:p>
    <w:p w:rsidR="00115B68" w:rsidRDefault="001F6189" w:rsidP="001F6189">
      <w:pPr>
        <w:pStyle w:val="Titre3"/>
      </w:pPr>
      <w:r>
        <w:t>SP500 PRINCIPAL FINANCIAL</w:t>
      </w:r>
    </w:p>
    <w:p w:rsidR="00E73BA5" w:rsidRDefault="001F6189" w:rsidP="00E73BA5">
      <w:r>
        <w:rPr>
          <w:noProof/>
          <w:lang w:eastAsia="fr-FR"/>
        </w:rPr>
        <w:drawing>
          <wp:inline distT="0" distB="0" distL="0" distR="0">
            <wp:extent cx="4933950" cy="3911426"/>
            <wp:effectExtent l="19050" t="0" r="0" b="0"/>
            <wp:docPr id="9" name="Image 8" descr="201903 SP500 Principal finan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 SP500 Principal financia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140" cy="391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89" w:rsidRDefault="001F6189" w:rsidP="00E73BA5">
      <w:r>
        <w:t>Divergence baissière cette fois pas encore parfaitement validée</w:t>
      </w:r>
    </w:p>
    <w:p w:rsidR="001F6189" w:rsidRDefault="001F6189" w:rsidP="001F6189">
      <w:pPr>
        <w:pStyle w:val="Titre3"/>
      </w:pPr>
      <w:r>
        <w:t>FOOTSIE WPP GROUP</w:t>
      </w:r>
    </w:p>
    <w:p w:rsidR="001F6189" w:rsidRDefault="001F6189" w:rsidP="00E73BA5">
      <w:r>
        <w:rPr>
          <w:noProof/>
          <w:lang w:eastAsia="fr-FR"/>
        </w:rPr>
        <w:drawing>
          <wp:inline distT="0" distB="0" distL="0" distR="0">
            <wp:extent cx="4914145" cy="3895725"/>
            <wp:effectExtent l="19050" t="0" r="755" b="0"/>
            <wp:docPr id="11" name="Image 10" descr="201903 Footsie WPP GROUP P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 Footsie WPP GROUP PL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330" cy="38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89" w:rsidRDefault="001F6189" w:rsidP="00E73BA5">
      <w:r>
        <w:t>Divergence un peu chaotique mais l’idée est là</w:t>
      </w:r>
    </w:p>
    <w:p w:rsidR="001F6189" w:rsidRPr="00E73BA5" w:rsidRDefault="001F6189" w:rsidP="00E73BA5"/>
    <w:sectPr w:rsidR="001F6189" w:rsidRPr="00E73BA5" w:rsidSect="0017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4FE"/>
    <w:rsid w:val="00011FE8"/>
    <w:rsid w:val="00037746"/>
    <w:rsid w:val="00052906"/>
    <w:rsid w:val="000A4105"/>
    <w:rsid w:val="000F7AE1"/>
    <w:rsid w:val="00115B68"/>
    <w:rsid w:val="00156418"/>
    <w:rsid w:val="00160E88"/>
    <w:rsid w:val="00171573"/>
    <w:rsid w:val="001B2C5E"/>
    <w:rsid w:val="001C7089"/>
    <w:rsid w:val="001F6189"/>
    <w:rsid w:val="00211E79"/>
    <w:rsid w:val="002172B9"/>
    <w:rsid w:val="0023252D"/>
    <w:rsid w:val="002403A6"/>
    <w:rsid w:val="00241121"/>
    <w:rsid w:val="00254A72"/>
    <w:rsid w:val="002600F9"/>
    <w:rsid w:val="00261AB8"/>
    <w:rsid w:val="00263592"/>
    <w:rsid w:val="00266F4C"/>
    <w:rsid w:val="0027603F"/>
    <w:rsid w:val="00291FE0"/>
    <w:rsid w:val="00292009"/>
    <w:rsid w:val="00292FEE"/>
    <w:rsid w:val="002A5579"/>
    <w:rsid w:val="00367897"/>
    <w:rsid w:val="00394B3B"/>
    <w:rsid w:val="003A7D0D"/>
    <w:rsid w:val="003C272B"/>
    <w:rsid w:val="00421A3A"/>
    <w:rsid w:val="004374FE"/>
    <w:rsid w:val="0045364B"/>
    <w:rsid w:val="00477F99"/>
    <w:rsid w:val="004E1214"/>
    <w:rsid w:val="005041C6"/>
    <w:rsid w:val="00525330"/>
    <w:rsid w:val="00544DFF"/>
    <w:rsid w:val="005476F0"/>
    <w:rsid w:val="00551051"/>
    <w:rsid w:val="0057202F"/>
    <w:rsid w:val="00586145"/>
    <w:rsid w:val="00590ADF"/>
    <w:rsid w:val="005C7DCB"/>
    <w:rsid w:val="005D09D9"/>
    <w:rsid w:val="00637C85"/>
    <w:rsid w:val="006649FB"/>
    <w:rsid w:val="006728A6"/>
    <w:rsid w:val="00692F33"/>
    <w:rsid w:val="006D697A"/>
    <w:rsid w:val="0070709D"/>
    <w:rsid w:val="007219EA"/>
    <w:rsid w:val="00782FF5"/>
    <w:rsid w:val="007C09C8"/>
    <w:rsid w:val="007D1792"/>
    <w:rsid w:val="00806A3B"/>
    <w:rsid w:val="00807332"/>
    <w:rsid w:val="00897D66"/>
    <w:rsid w:val="008C2D40"/>
    <w:rsid w:val="008F04AF"/>
    <w:rsid w:val="008F2A1D"/>
    <w:rsid w:val="009471F7"/>
    <w:rsid w:val="009B2B36"/>
    <w:rsid w:val="009E36A6"/>
    <w:rsid w:val="009E7B77"/>
    <w:rsid w:val="009F71EB"/>
    <w:rsid w:val="00A37343"/>
    <w:rsid w:val="00A422BB"/>
    <w:rsid w:val="00A77801"/>
    <w:rsid w:val="00A85829"/>
    <w:rsid w:val="00A927D6"/>
    <w:rsid w:val="00AA79B7"/>
    <w:rsid w:val="00AB6428"/>
    <w:rsid w:val="00AC0BB6"/>
    <w:rsid w:val="00AE42FE"/>
    <w:rsid w:val="00B26215"/>
    <w:rsid w:val="00B72F79"/>
    <w:rsid w:val="00B91F7D"/>
    <w:rsid w:val="00BC2079"/>
    <w:rsid w:val="00BF7BBD"/>
    <w:rsid w:val="00C021B1"/>
    <w:rsid w:val="00C1061E"/>
    <w:rsid w:val="00C1174B"/>
    <w:rsid w:val="00C13138"/>
    <w:rsid w:val="00C246E7"/>
    <w:rsid w:val="00C4538C"/>
    <w:rsid w:val="00C91ABF"/>
    <w:rsid w:val="00C9533D"/>
    <w:rsid w:val="00CB5C7D"/>
    <w:rsid w:val="00CE457D"/>
    <w:rsid w:val="00CF592B"/>
    <w:rsid w:val="00D11BC1"/>
    <w:rsid w:val="00D32CF9"/>
    <w:rsid w:val="00D3362F"/>
    <w:rsid w:val="00D80BA8"/>
    <w:rsid w:val="00DD5253"/>
    <w:rsid w:val="00E501FE"/>
    <w:rsid w:val="00E507FB"/>
    <w:rsid w:val="00E5361B"/>
    <w:rsid w:val="00E57B87"/>
    <w:rsid w:val="00E73BA5"/>
    <w:rsid w:val="00E744E5"/>
    <w:rsid w:val="00E81020"/>
    <w:rsid w:val="00E865BC"/>
    <w:rsid w:val="00EA6A93"/>
    <w:rsid w:val="00F02812"/>
    <w:rsid w:val="00F062AF"/>
    <w:rsid w:val="00F36053"/>
    <w:rsid w:val="00F73123"/>
    <w:rsid w:val="00F75D5A"/>
    <w:rsid w:val="00F95B0A"/>
    <w:rsid w:val="00FA259D"/>
    <w:rsid w:val="00FA2F1C"/>
    <w:rsid w:val="00FB6A3B"/>
    <w:rsid w:val="00FE05A1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36"/>
  </w:style>
  <w:style w:type="paragraph" w:styleId="Titre1">
    <w:name w:val="heading 1"/>
    <w:basedOn w:val="Normal"/>
    <w:next w:val="Normal"/>
    <w:link w:val="Titre1Car"/>
    <w:uiPriority w:val="9"/>
    <w:qFormat/>
    <w:rsid w:val="00437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7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6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4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74F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Policepardfaut"/>
    <w:rsid w:val="004374FE"/>
  </w:style>
  <w:style w:type="paragraph" w:styleId="Sansinterligne">
    <w:name w:val="No Spacing"/>
    <w:uiPriority w:val="1"/>
    <w:qFormat/>
    <w:rsid w:val="007D1792"/>
    <w:pPr>
      <w:spacing w:after="0" w:line="240" w:lineRule="auto"/>
    </w:pPr>
  </w:style>
  <w:style w:type="paragraph" w:styleId="En-tte">
    <w:name w:val="header"/>
    <w:basedOn w:val="Normal"/>
    <w:link w:val="En-tteCar"/>
    <w:rsid w:val="001B2C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B2C5E"/>
    <w:rPr>
      <w:rFonts w:ascii="Times New Roman" w:eastAsia="Times New Roman" w:hAnsi="Times New Roman" w:cs="Times New Roman"/>
      <w:sz w:val="24"/>
      <w:szCs w:val="24"/>
    </w:rPr>
  </w:style>
  <w:style w:type="character" w:customStyle="1" w:styleId="sticker">
    <w:name w:val="sticker"/>
    <w:basedOn w:val="Policepardfaut"/>
    <w:rsid w:val="00C9533D"/>
  </w:style>
  <w:style w:type="character" w:customStyle="1" w:styleId="Titre3Car">
    <w:name w:val="Titre 3 Car"/>
    <w:basedOn w:val="Policepardfaut"/>
    <w:link w:val="Titre3"/>
    <w:uiPriority w:val="9"/>
    <w:rsid w:val="00AB6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Policepardfaut"/>
    <w:rsid w:val="0070709D"/>
  </w:style>
  <w:style w:type="character" w:customStyle="1" w:styleId="go">
    <w:name w:val="go"/>
    <w:basedOn w:val="Policepardfaut"/>
    <w:rsid w:val="0070709D"/>
  </w:style>
  <w:style w:type="character" w:customStyle="1" w:styleId="g3">
    <w:name w:val="g3"/>
    <w:basedOn w:val="Policepardfaut"/>
    <w:rsid w:val="0070709D"/>
  </w:style>
  <w:style w:type="character" w:customStyle="1" w:styleId="hb">
    <w:name w:val="hb"/>
    <w:basedOn w:val="Policepardfaut"/>
    <w:rsid w:val="0070709D"/>
  </w:style>
  <w:style w:type="character" w:customStyle="1" w:styleId="g2">
    <w:name w:val="g2"/>
    <w:basedOn w:val="Policepardfaut"/>
    <w:rsid w:val="0070709D"/>
  </w:style>
  <w:style w:type="character" w:customStyle="1" w:styleId="gmaildefault">
    <w:name w:val="gmail_default"/>
    <w:basedOn w:val="Policepardfaut"/>
    <w:rsid w:val="0070709D"/>
  </w:style>
  <w:style w:type="table" w:styleId="Grilledutableau">
    <w:name w:val="Table Grid"/>
    <w:basedOn w:val="TableauNormal"/>
    <w:uiPriority w:val="59"/>
    <w:rsid w:val="00E7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9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26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0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50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74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96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53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43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25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144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54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658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254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90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414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5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5670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2293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8834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5922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4385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7904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6067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5409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832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7060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61983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42203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462098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2156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87939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85415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35052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92129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73365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83707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2909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94333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69188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56924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30619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07025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086877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235247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ias.fr/espace-consommateu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9834E-1EE5-40AD-A9D5-2124D4CD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2</cp:lastModifiedBy>
  <cp:revision>59</cp:revision>
  <dcterms:created xsi:type="dcterms:W3CDTF">2017-08-25T15:01:00Z</dcterms:created>
  <dcterms:modified xsi:type="dcterms:W3CDTF">2019-03-11T13:11:00Z</dcterms:modified>
</cp:coreProperties>
</file>